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EE12" w14:textId="3BCCB31E" w:rsidR="00451C59" w:rsidRDefault="001D56D8" w:rsidP="00451C59">
      <w:pPr>
        <w:rPr>
          <w:b/>
          <w:sz w:val="28"/>
          <w:szCs w:val="28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EE1BCAA" wp14:editId="7535E519">
            <wp:simplePos x="0" y="0"/>
            <wp:positionH relativeFrom="column">
              <wp:posOffset>4388485</wp:posOffset>
            </wp:positionH>
            <wp:positionV relativeFrom="paragraph">
              <wp:posOffset>586</wp:posOffset>
            </wp:positionV>
            <wp:extent cx="1399540" cy="986790"/>
            <wp:effectExtent l="0" t="0" r="0" b="3810"/>
            <wp:wrapSquare wrapText="bothSides"/>
            <wp:docPr id="1898962946" name="Picture 2" descr="A logo for a community gard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62946" name="Picture 2" descr="A logo for a community garde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Farncombe Community Garden</w:t>
      </w:r>
    </w:p>
    <w:p w14:paraId="3F046E31" w14:textId="40D9B72E" w:rsidR="001D56D8" w:rsidRPr="001D56D8" w:rsidRDefault="00451C59" w:rsidP="001D56D8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Donations Policy</w:t>
      </w:r>
    </w:p>
    <w:p w14:paraId="22648D13" w14:textId="56DCDB40" w:rsidR="00F03CB0" w:rsidRPr="00F03CB0" w:rsidRDefault="00F03CB0" w:rsidP="00B708BC">
      <w:pPr>
        <w:jc w:val="center"/>
        <w:rPr>
          <w:b/>
          <w:bCs/>
          <w:sz w:val="22"/>
          <w:szCs w:val="22"/>
        </w:rPr>
      </w:pPr>
    </w:p>
    <w:p w14:paraId="0E1748DF" w14:textId="0684E3E1" w:rsidR="00007E40" w:rsidRPr="00F03CB0" w:rsidRDefault="00007E40" w:rsidP="00B708BC">
      <w:pPr>
        <w:jc w:val="center"/>
        <w:rPr>
          <w:b/>
          <w:bCs/>
          <w:sz w:val="22"/>
          <w:szCs w:val="22"/>
        </w:rPr>
      </w:pPr>
      <w:r w:rsidRPr="00F03CB0">
        <w:rPr>
          <w:b/>
          <w:bCs/>
          <w:sz w:val="22"/>
          <w:szCs w:val="22"/>
        </w:rPr>
        <w:t>Policies on donations and fundraising</w:t>
      </w:r>
    </w:p>
    <w:p w14:paraId="7388A63D" w14:textId="726FD5C0" w:rsidR="00007E40" w:rsidRPr="00F03CB0" w:rsidRDefault="00007E40" w:rsidP="00B708BC">
      <w:pPr>
        <w:jc w:val="both"/>
        <w:rPr>
          <w:b/>
          <w:bCs/>
          <w:sz w:val="22"/>
          <w:szCs w:val="22"/>
        </w:rPr>
      </w:pPr>
      <w:r w:rsidRPr="00F03CB0">
        <w:rPr>
          <w:b/>
          <w:bCs/>
          <w:sz w:val="22"/>
          <w:szCs w:val="22"/>
        </w:rPr>
        <w:t>Background</w:t>
      </w:r>
    </w:p>
    <w:p w14:paraId="70BD68FE" w14:textId="794073A1" w:rsidR="00007E40" w:rsidRPr="00F03CB0" w:rsidRDefault="001D56D8" w:rsidP="00B708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While we wish to ensure all avenues to fundraising are available for the garden, occasionally there can be risks associated with donations or </w:t>
      </w:r>
      <w:proofErr w:type="gramStart"/>
      <w:r>
        <w:rPr>
          <w:sz w:val="22"/>
          <w:szCs w:val="22"/>
        </w:rPr>
        <w:t>fund raising</w:t>
      </w:r>
      <w:proofErr w:type="gramEnd"/>
      <w:r>
        <w:rPr>
          <w:sz w:val="22"/>
          <w:szCs w:val="22"/>
        </w:rPr>
        <w:t xml:space="preserve"> events.</w:t>
      </w:r>
      <w:r w:rsidR="00007E40" w:rsidRPr="00F03CB0">
        <w:rPr>
          <w:sz w:val="22"/>
          <w:szCs w:val="22"/>
        </w:rPr>
        <w:t xml:space="preserve"> This </w:t>
      </w:r>
      <w:r w:rsidR="00613E6B" w:rsidRPr="00F03CB0">
        <w:rPr>
          <w:sz w:val="22"/>
          <w:szCs w:val="22"/>
        </w:rPr>
        <w:t>document sets out the policies that should be followed to mitigate such risks.</w:t>
      </w:r>
    </w:p>
    <w:p w14:paraId="73FF53DF" w14:textId="788BA16E" w:rsidR="00007E40" w:rsidRPr="00F03CB0" w:rsidRDefault="00FD43A0" w:rsidP="00B708BC">
      <w:pPr>
        <w:jc w:val="both"/>
        <w:rPr>
          <w:b/>
          <w:bCs/>
          <w:sz w:val="22"/>
          <w:szCs w:val="22"/>
        </w:rPr>
      </w:pPr>
      <w:r w:rsidRPr="00F03CB0">
        <w:rPr>
          <w:b/>
          <w:bCs/>
          <w:sz w:val="22"/>
          <w:szCs w:val="22"/>
        </w:rPr>
        <w:t>Relevant</w:t>
      </w:r>
      <w:r w:rsidR="00007E40" w:rsidRPr="00F03CB0">
        <w:rPr>
          <w:b/>
          <w:bCs/>
          <w:sz w:val="22"/>
          <w:szCs w:val="22"/>
        </w:rPr>
        <w:t xml:space="preserve"> Risks</w:t>
      </w:r>
    </w:p>
    <w:p w14:paraId="5BD6BFF1" w14:textId="77774883" w:rsidR="00007E40" w:rsidRPr="00F03CB0" w:rsidRDefault="00007E40" w:rsidP="00B708B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03CB0">
        <w:rPr>
          <w:sz w:val="22"/>
          <w:szCs w:val="22"/>
        </w:rPr>
        <w:t xml:space="preserve">Cash donations are </w:t>
      </w:r>
      <w:r w:rsidR="005E2F49" w:rsidRPr="00F03CB0">
        <w:rPr>
          <w:sz w:val="22"/>
          <w:szCs w:val="22"/>
        </w:rPr>
        <w:t xml:space="preserve">relatively </w:t>
      </w:r>
      <w:r w:rsidRPr="00F03CB0">
        <w:rPr>
          <w:sz w:val="22"/>
          <w:szCs w:val="22"/>
        </w:rPr>
        <w:t>more exposed to fraud and theft</w:t>
      </w:r>
    </w:p>
    <w:p w14:paraId="2ACB3CE3" w14:textId="43BBEE5D" w:rsidR="005B5353" w:rsidRPr="00F03CB0" w:rsidRDefault="005B5353" w:rsidP="00B708B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03CB0">
        <w:rPr>
          <w:sz w:val="22"/>
          <w:szCs w:val="22"/>
        </w:rPr>
        <w:t>Data collection and protection issues can arise</w:t>
      </w:r>
    </w:p>
    <w:p w14:paraId="1D123C55" w14:textId="63F2A394" w:rsidR="005B5353" w:rsidRPr="00F03CB0" w:rsidRDefault="005B5353" w:rsidP="00B708B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03CB0">
        <w:rPr>
          <w:sz w:val="22"/>
          <w:szCs w:val="22"/>
        </w:rPr>
        <w:t xml:space="preserve">Not all donors </w:t>
      </w:r>
      <w:r w:rsidR="00613E6B" w:rsidRPr="00F03CB0">
        <w:rPr>
          <w:sz w:val="22"/>
          <w:szCs w:val="22"/>
        </w:rPr>
        <w:t xml:space="preserve">and donations </w:t>
      </w:r>
      <w:r w:rsidRPr="00F03CB0">
        <w:rPr>
          <w:sz w:val="22"/>
          <w:szCs w:val="22"/>
        </w:rPr>
        <w:t>are suitable</w:t>
      </w:r>
    </w:p>
    <w:p w14:paraId="4236B10B" w14:textId="386A9940" w:rsidR="005B5353" w:rsidRPr="00F03CB0" w:rsidRDefault="005557F9" w:rsidP="00B708B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03CB0">
        <w:rPr>
          <w:sz w:val="22"/>
          <w:szCs w:val="22"/>
        </w:rPr>
        <w:t>Fundraising may have specific rules to be complied with</w:t>
      </w:r>
    </w:p>
    <w:p w14:paraId="6D511E31" w14:textId="3391C3B4" w:rsidR="005B5353" w:rsidRPr="00F03CB0" w:rsidRDefault="005B5353" w:rsidP="00B708BC">
      <w:pPr>
        <w:jc w:val="both"/>
        <w:rPr>
          <w:b/>
          <w:bCs/>
          <w:sz w:val="22"/>
          <w:szCs w:val="22"/>
        </w:rPr>
      </w:pPr>
      <w:r w:rsidRPr="00F03CB0">
        <w:rPr>
          <w:b/>
          <w:bCs/>
          <w:sz w:val="22"/>
          <w:szCs w:val="22"/>
        </w:rPr>
        <w:t>Cash Donation Policies</w:t>
      </w:r>
    </w:p>
    <w:p w14:paraId="0E0758C1" w14:textId="2B6652D9" w:rsidR="005B5353" w:rsidRPr="00F03CB0" w:rsidRDefault="005B5353" w:rsidP="00B708BC">
      <w:pPr>
        <w:jc w:val="both"/>
        <w:rPr>
          <w:sz w:val="22"/>
          <w:szCs w:val="22"/>
        </w:rPr>
      </w:pPr>
      <w:r w:rsidRPr="00F03CB0">
        <w:rPr>
          <w:sz w:val="22"/>
          <w:szCs w:val="22"/>
        </w:rPr>
        <w:t xml:space="preserve">If </w:t>
      </w:r>
      <w:proofErr w:type="gramStart"/>
      <w:r w:rsidRPr="00F03CB0">
        <w:rPr>
          <w:sz w:val="22"/>
          <w:szCs w:val="22"/>
        </w:rPr>
        <w:t xml:space="preserve">possible, </w:t>
      </w:r>
      <w:r w:rsidR="001D56D8">
        <w:rPr>
          <w:sz w:val="22"/>
          <w:szCs w:val="22"/>
        </w:rPr>
        <w:t xml:space="preserve"> Farncombe</w:t>
      </w:r>
      <w:proofErr w:type="gramEnd"/>
      <w:r w:rsidR="001D56D8">
        <w:rPr>
          <w:sz w:val="22"/>
          <w:szCs w:val="22"/>
        </w:rPr>
        <w:t xml:space="preserve"> Community Garden</w:t>
      </w:r>
      <w:r w:rsidRPr="00F03CB0">
        <w:rPr>
          <w:sz w:val="22"/>
          <w:szCs w:val="22"/>
        </w:rPr>
        <w:t xml:space="preserve"> would prefer for donations to be received electronically (via website or card reader</w:t>
      </w:r>
      <w:r w:rsidR="008C33AB" w:rsidRPr="00F03CB0">
        <w:rPr>
          <w:sz w:val="22"/>
          <w:szCs w:val="22"/>
        </w:rPr>
        <w:t>,</w:t>
      </w:r>
      <w:r w:rsidRPr="00F03CB0">
        <w:rPr>
          <w:sz w:val="22"/>
          <w:szCs w:val="22"/>
        </w:rPr>
        <w:t xml:space="preserve"> or bank transfer) or as</w:t>
      </w:r>
      <w:r w:rsidR="005557F9" w:rsidRPr="00F03CB0">
        <w:rPr>
          <w:sz w:val="22"/>
          <w:szCs w:val="22"/>
        </w:rPr>
        <w:t xml:space="preserve"> </w:t>
      </w:r>
      <w:r w:rsidRPr="00F03CB0">
        <w:rPr>
          <w:sz w:val="22"/>
          <w:szCs w:val="22"/>
        </w:rPr>
        <w:t>cheque</w:t>
      </w:r>
      <w:r w:rsidR="005557F9" w:rsidRPr="00F03CB0">
        <w:rPr>
          <w:sz w:val="22"/>
          <w:szCs w:val="22"/>
        </w:rPr>
        <w:t>s</w:t>
      </w:r>
      <w:r w:rsidR="005E2F49" w:rsidRPr="00F03CB0">
        <w:rPr>
          <w:sz w:val="22"/>
          <w:szCs w:val="22"/>
        </w:rPr>
        <w:t>,</w:t>
      </w:r>
      <w:r w:rsidRPr="00F03CB0">
        <w:rPr>
          <w:sz w:val="22"/>
          <w:szCs w:val="22"/>
        </w:rPr>
        <w:t xml:space="preserve"> rather than as cash.</w:t>
      </w:r>
    </w:p>
    <w:p w14:paraId="5B2A0229" w14:textId="2825F01F" w:rsidR="005B5353" w:rsidRPr="00F03CB0" w:rsidRDefault="005B5353" w:rsidP="00B708BC">
      <w:pPr>
        <w:jc w:val="both"/>
        <w:rPr>
          <w:sz w:val="22"/>
          <w:szCs w:val="22"/>
        </w:rPr>
      </w:pPr>
      <w:r w:rsidRPr="00F03CB0">
        <w:rPr>
          <w:sz w:val="22"/>
          <w:szCs w:val="22"/>
        </w:rPr>
        <w:t>If cash must be received</w:t>
      </w:r>
      <w:r w:rsidR="005E2F49" w:rsidRPr="00F03CB0">
        <w:rPr>
          <w:sz w:val="22"/>
          <w:szCs w:val="22"/>
        </w:rPr>
        <w:t xml:space="preserve">, say </w:t>
      </w:r>
      <w:r w:rsidRPr="00F03CB0">
        <w:rPr>
          <w:sz w:val="22"/>
          <w:szCs w:val="22"/>
        </w:rPr>
        <w:t>at a fundraising event</w:t>
      </w:r>
      <w:r w:rsidR="005557F9" w:rsidRPr="00F03CB0">
        <w:rPr>
          <w:sz w:val="22"/>
          <w:szCs w:val="22"/>
        </w:rPr>
        <w:t>,</w:t>
      </w:r>
      <w:r w:rsidRPr="00F03CB0">
        <w:rPr>
          <w:sz w:val="22"/>
          <w:szCs w:val="22"/>
        </w:rPr>
        <w:t xml:space="preserve"> then</w:t>
      </w:r>
      <w:r w:rsidR="008C33AB" w:rsidRPr="00F03CB0">
        <w:rPr>
          <w:sz w:val="22"/>
          <w:szCs w:val="22"/>
        </w:rPr>
        <w:t>,</w:t>
      </w:r>
      <w:r w:rsidRPr="00F03CB0">
        <w:rPr>
          <w:sz w:val="22"/>
          <w:szCs w:val="22"/>
        </w:rPr>
        <w:t xml:space="preserve"> </w:t>
      </w:r>
      <w:r w:rsidR="00E3457F" w:rsidRPr="00F03CB0">
        <w:rPr>
          <w:sz w:val="22"/>
          <w:szCs w:val="22"/>
        </w:rPr>
        <w:t xml:space="preserve">where </w:t>
      </w:r>
      <w:r w:rsidRPr="00F03CB0">
        <w:rPr>
          <w:sz w:val="22"/>
          <w:szCs w:val="22"/>
        </w:rPr>
        <w:t>possible</w:t>
      </w:r>
      <w:r w:rsidR="008C33AB" w:rsidRPr="00F03CB0">
        <w:rPr>
          <w:sz w:val="22"/>
          <w:szCs w:val="22"/>
        </w:rPr>
        <w:t>,</w:t>
      </w:r>
      <w:r w:rsidRPr="00F03CB0">
        <w:rPr>
          <w:sz w:val="22"/>
          <w:szCs w:val="22"/>
        </w:rPr>
        <w:t xml:space="preserve"> it should</w:t>
      </w:r>
      <w:r w:rsidR="001D56D8">
        <w:rPr>
          <w:sz w:val="22"/>
          <w:szCs w:val="22"/>
        </w:rPr>
        <w:t>:</w:t>
      </w:r>
    </w:p>
    <w:p w14:paraId="5651E6C3" w14:textId="1D2EB8F0" w:rsidR="005B5353" w:rsidRPr="00F03CB0" w:rsidRDefault="001D56D8" w:rsidP="00B708B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5B5353" w:rsidRPr="00F03CB0">
        <w:rPr>
          <w:sz w:val="22"/>
          <w:szCs w:val="22"/>
        </w:rPr>
        <w:t>e counted by two unrelated people</w:t>
      </w:r>
      <w:r>
        <w:rPr>
          <w:sz w:val="22"/>
          <w:szCs w:val="22"/>
        </w:rPr>
        <w:t xml:space="preserve"> who are either part of the Management Team, Trustees or Lead Volunteers</w:t>
      </w:r>
      <w:r w:rsidR="00E3457F" w:rsidRPr="00F03CB0">
        <w:rPr>
          <w:sz w:val="22"/>
          <w:szCs w:val="22"/>
        </w:rPr>
        <w:t xml:space="preserve"> </w:t>
      </w:r>
      <w:r w:rsidR="005B5353" w:rsidRPr="00F03CB0">
        <w:rPr>
          <w:sz w:val="22"/>
          <w:szCs w:val="22"/>
        </w:rPr>
        <w:t>before leaving the event. They should sign and date to confirm the amount counted.</w:t>
      </w:r>
    </w:p>
    <w:p w14:paraId="0A56286F" w14:textId="63DE8DB4" w:rsidR="005B5353" w:rsidRPr="00F03CB0" w:rsidRDefault="001D56D8" w:rsidP="00B708B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5557F9" w:rsidRPr="00F03CB0">
        <w:rPr>
          <w:sz w:val="22"/>
          <w:szCs w:val="22"/>
        </w:rPr>
        <w:t xml:space="preserve">he cash and the signed record </w:t>
      </w:r>
      <w:r w:rsidR="005B5353" w:rsidRPr="00F03CB0">
        <w:rPr>
          <w:sz w:val="22"/>
          <w:szCs w:val="22"/>
        </w:rPr>
        <w:t xml:space="preserve">should be passed to </w:t>
      </w:r>
      <w:r>
        <w:rPr>
          <w:sz w:val="22"/>
          <w:szCs w:val="22"/>
        </w:rPr>
        <w:t>one of the Trustees</w:t>
      </w:r>
      <w:r w:rsidR="005B5353" w:rsidRPr="00F03CB0">
        <w:rPr>
          <w:sz w:val="22"/>
          <w:szCs w:val="22"/>
        </w:rPr>
        <w:t xml:space="preserve"> for banking as soon as possible</w:t>
      </w:r>
      <w:r w:rsidR="005557F9" w:rsidRPr="00F03CB0">
        <w:rPr>
          <w:sz w:val="22"/>
          <w:szCs w:val="22"/>
        </w:rPr>
        <w:t>.</w:t>
      </w:r>
      <w:r w:rsidR="00E3457F" w:rsidRPr="00F03CB0">
        <w:rPr>
          <w:sz w:val="22"/>
          <w:szCs w:val="22"/>
        </w:rPr>
        <w:t xml:space="preserve"> An emailed photograph of the signed record is acceptable.</w:t>
      </w:r>
    </w:p>
    <w:p w14:paraId="31A288B5" w14:textId="36D17359" w:rsidR="008C33AB" w:rsidRPr="00F03CB0" w:rsidRDefault="008C33AB" w:rsidP="00B708B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03CB0">
        <w:rPr>
          <w:sz w:val="22"/>
          <w:szCs w:val="22"/>
        </w:rPr>
        <w:t xml:space="preserve">No expenses </w:t>
      </w:r>
      <w:r w:rsidR="005E2F49" w:rsidRPr="00F03CB0">
        <w:rPr>
          <w:sz w:val="22"/>
          <w:szCs w:val="22"/>
        </w:rPr>
        <w:t xml:space="preserve">or payments </w:t>
      </w:r>
      <w:r w:rsidRPr="00F03CB0">
        <w:rPr>
          <w:sz w:val="22"/>
          <w:szCs w:val="22"/>
        </w:rPr>
        <w:t>should be deducted from the cash</w:t>
      </w:r>
      <w:r w:rsidR="00E3457F" w:rsidRPr="00F03CB0">
        <w:rPr>
          <w:sz w:val="22"/>
          <w:szCs w:val="22"/>
        </w:rPr>
        <w:t xml:space="preserve"> before passing it to the office</w:t>
      </w:r>
      <w:r w:rsidR="005E2F49" w:rsidRPr="00F03CB0">
        <w:rPr>
          <w:sz w:val="22"/>
          <w:szCs w:val="22"/>
        </w:rPr>
        <w:t>.</w:t>
      </w:r>
    </w:p>
    <w:p w14:paraId="63840BA3" w14:textId="28FAFCC1" w:rsidR="00E3457F" w:rsidRPr="00F03CB0" w:rsidRDefault="00E3457F" w:rsidP="00B708B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03CB0">
        <w:rPr>
          <w:sz w:val="22"/>
          <w:szCs w:val="22"/>
        </w:rPr>
        <w:t xml:space="preserve">Our preference is that, unless unavoidable, cash is not taken by an individual who then makes a bank transfer to </w:t>
      </w:r>
      <w:r w:rsidR="001D56D8">
        <w:rPr>
          <w:sz w:val="22"/>
          <w:szCs w:val="22"/>
        </w:rPr>
        <w:t>the Garden</w:t>
      </w:r>
      <w:r w:rsidRPr="00F03CB0">
        <w:rPr>
          <w:sz w:val="22"/>
          <w:szCs w:val="22"/>
        </w:rPr>
        <w:t xml:space="preserve">. If this must happen, it is better if the individual is not one of the people counting and recording the cash. Contact details for the individual should be recorded. </w:t>
      </w:r>
    </w:p>
    <w:p w14:paraId="67F60B24" w14:textId="7AE8F666" w:rsidR="005B5353" w:rsidRPr="00F03CB0" w:rsidRDefault="00613E6B" w:rsidP="00B708BC">
      <w:pPr>
        <w:jc w:val="both"/>
        <w:rPr>
          <w:b/>
          <w:bCs/>
          <w:sz w:val="22"/>
          <w:szCs w:val="22"/>
        </w:rPr>
      </w:pPr>
      <w:r w:rsidRPr="00F03CB0">
        <w:rPr>
          <w:b/>
          <w:bCs/>
          <w:sz w:val="22"/>
          <w:szCs w:val="22"/>
        </w:rPr>
        <w:t>Data Collection</w:t>
      </w:r>
    </w:p>
    <w:p w14:paraId="24EA08A9" w14:textId="436F7C1E" w:rsidR="005B5353" w:rsidRPr="00F03CB0" w:rsidRDefault="001D56D8" w:rsidP="00B708BC">
      <w:pPr>
        <w:jc w:val="both"/>
        <w:rPr>
          <w:sz w:val="22"/>
          <w:szCs w:val="22"/>
        </w:rPr>
      </w:pPr>
      <w:r>
        <w:rPr>
          <w:sz w:val="22"/>
          <w:szCs w:val="22"/>
        </w:rPr>
        <w:t>Farncombe Community Garden</w:t>
      </w:r>
      <w:r w:rsidR="00613E6B" w:rsidRPr="00F03CB0">
        <w:rPr>
          <w:sz w:val="22"/>
          <w:szCs w:val="22"/>
        </w:rPr>
        <w:t xml:space="preserve"> would </w:t>
      </w:r>
      <w:r w:rsidR="005E2F49" w:rsidRPr="00F03CB0">
        <w:rPr>
          <w:sz w:val="22"/>
          <w:szCs w:val="22"/>
        </w:rPr>
        <w:t xml:space="preserve">normally </w:t>
      </w:r>
      <w:r w:rsidR="00613E6B" w:rsidRPr="00F03CB0">
        <w:rPr>
          <w:sz w:val="22"/>
          <w:szCs w:val="22"/>
        </w:rPr>
        <w:t>like to keep in touch with donors if they are willing.</w:t>
      </w:r>
    </w:p>
    <w:p w14:paraId="7D171362" w14:textId="4A6ACD32" w:rsidR="00613E6B" w:rsidRPr="00F03CB0" w:rsidRDefault="00613E6B" w:rsidP="00B708BC">
      <w:pPr>
        <w:jc w:val="both"/>
        <w:rPr>
          <w:sz w:val="22"/>
          <w:szCs w:val="22"/>
        </w:rPr>
      </w:pPr>
      <w:r w:rsidRPr="00F03CB0">
        <w:rPr>
          <w:sz w:val="22"/>
          <w:szCs w:val="22"/>
        </w:rPr>
        <w:t>Where possible, we should make a record of the following</w:t>
      </w:r>
      <w:r w:rsidR="00B713DC" w:rsidRPr="00F03CB0">
        <w:rPr>
          <w:sz w:val="22"/>
          <w:szCs w:val="22"/>
        </w:rPr>
        <w:t xml:space="preserve"> (this applies to donations via cash, cheque or card)</w:t>
      </w:r>
      <w:r w:rsidRPr="00F03CB0">
        <w:rPr>
          <w:sz w:val="22"/>
          <w:szCs w:val="22"/>
        </w:rPr>
        <w:t>:</w:t>
      </w:r>
    </w:p>
    <w:p w14:paraId="041DFC07" w14:textId="4FB207E7" w:rsidR="00613E6B" w:rsidRPr="00F03CB0" w:rsidRDefault="001D56D8" w:rsidP="00B708B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13E6B" w:rsidRPr="00F03CB0">
        <w:rPr>
          <w:sz w:val="22"/>
          <w:szCs w:val="22"/>
        </w:rPr>
        <w:t>he name of the donor and their email address or phone number</w:t>
      </w:r>
      <w:r w:rsidR="00E3457F" w:rsidRPr="00F03CB0">
        <w:rPr>
          <w:sz w:val="22"/>
          <w:szCs w:val="22"/>
        </w:rPr>
        <w:t xml:space="preserve"> and the amount given</w:t>
      </w:r>
    </w:p>
    <w:p w14:paraId="107824FD" w14:textId="43BF4A3B" w:rsidR="00613E6B" w:rsidRPr="00F03CB0" w:rsidRDefault="001D56D8" w:rsidP="00B708B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613E6B" w:rsidRPr="00F03CB0">
        <w:rPr>
          <w:sz w:val="22"/>
          <w:szCs w:val="22"/>
        </w:rPr>
        <w:t xml:space="preserve">hether they consented to us recording </w:t>
      </w:r>
      <w:r w:rsidR="00E3457F" w:rsidRPr="00F03CB0">
        <w:rPr>
          <w:sz w:val="22"/>
          <w:szCs w:val="22"/>
        </w:rPr>
        <w:t>their</w:t>
      </w:r>
      <w:r w:rsidR="00613E6B" w:rsidRPr="00F03CB0">
        <w:rPr>
          <w:sz w:val="22"/>
          <w:szCs w:val="22"/>
        </w:rPr>
        <w:t xml:space="preserve"> information</w:t>
      </w:r>
      <w:r w:rsidR="005E2F49" w:rsidRPr="00F03CB0">
        <w:rPr>
          <w:sz w:val="22"/>
          <w:szCs w:val="22"/>
        </w:rPr>
        <w:t xml:space="preserve"> (</w:t>
      </w:r>
      <w:r w:rsidR="00E3457F" w:rsidRPr="00F03CB0">
        <w:rPr>
          <w:sz w:val="22"/>
          <w:szCs w:val="22"/>
        </w:rPr>
        <w:t>leave blank</w:t>
      </w:r>
      <w:r w:rsidR="005E2F49" w:rsidRPr="00F03CB0">
        <w:rPr>
          <w:sz w:val="22"/>
          <w:szCs w:val="22"/>
        </w:rPr>
        <w:t xml:space="preserve"> if not)</w:t>
      </w:r>
    </w:p>
    <w:p w14:paraId="4EE86274" w14:textId="4DA1189D" w:rsidR="00613E6B" w:rsidRPr="00F03CB0" w:rsidRDefault="001D56D8" w:rsidP="00B708B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F</w:t>
      </w:r>
      <w:r w:rsidR="00613E6B" w:rsidRPr="00F03CB0">
        <w:rPr>
          <w:sz w:val="22"/>
          <w:szCs w:val="22"/>
        </w:rPr>
        <w:t>or donations</w:t>
      </w:r>
      <w:r w:rsidR="006D27DB" w:rsidRPr="00F03CB0">
        <w:rPr>
          <w:sz w:val="22"/>
          <w:szCs w:val="22"/>
        </w:rPr>
        <w:t xml:space="preserve"> over £30,</w:t>
      </w:r>
      <w:r w:rsidR="00613E6B" w:rsidRPr="00F03CB0">
        <w:rPr>
          <w:sz w:val="22"/>
          <w:szCs w:val="22"/>
        </w:rPr>
        <w:t xml:space="preserve"> whether </w:t>
      </w:r>
      <w:r w:rsidR="006D27DB" w:rsidRPr="00F03CB0">
        <w:rPr>
          <w:sz w:val="22"/>
          <w:szCs w:val="22"/>
        </w:rPr>
        <w:t xml:space="preserve">the donor </w:t>
      </w:r>
      <w:proofErr w:type="gramStart"/>
      <w:r w:rsidR="006D27DB" w:rsidRPr="00F03CB0">
        <w:rPr>
          <w:sz w:val="22"/>
          <w:szCs w:val="22"/>
        </w:rPr>
        <w:t xml:space="preserve">is </w:t>
      </w:r>
      <w:r w:rsidR="00613E6B" w:rsidRPr="00F03CB0">
        <w:rPr>
          <w:sz w:val="22"/>
          <w:szCs w:val="22"/>
        </w:rPr>
        <w:t>willing/able to</w:t>
      </w:r>
      <w:proofErr w:type="gramEnd"/>
      <w:r w:rsidR="00613E6B" w:rsidRPr="00F03CB0">
        <w:rPr>
          <w:sz w:val="22"/>
          <w:szCs w:val="22"/>
        </w:rPr>
        <w:t xml:space="preserve"> gift aid the donation</w:t>
      </w:r>
      <w:r w:rsidR="006D27DB" w:rsidRPr="00F03CB0">
        <w:rPr>
          <w:sz w:val="22"/>
          <w:szCs w:val="22"/>
        </w:rPr>
        <w:t>, and the necessary contact information to allow us to complete</w:t>
      </w:r>
      <w:r w:rsidR="005E2F49" w:rsidRPr="00F03CB0">
        <w:rPr>
          <w:sz w:val="22"/>
          <w:szCs w:val="22"/>
        </w:rPr>
        <w:t xml:space="preserve"> the</w:t>
      </w:r>
      <w:r w:rsidR="006D27DB" w:rsidRPr="00F03CB0">
        <w:rPr>
          <w:sz w:val="22"/>
          <w:szCs w:val="22"/>
        </w:rPr>
        <w:t xml:space="preserve"> paperwork</w:t>
      </w:r>
    </w:p>
    <w:p w14:paraId="7B9938B3" w14:textId="2AB33A33" w:rsidR="00613E6B" w:rsidRPr="00F03CB0" w:rsidRDefault="001D56D8" w:rsidP="00B708B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613E6B" w:rsidRPr="00F03CB0">
        <w:rPr>
          <w:sz w:val="22"/>
          <w:szCs w:val="22"/>
        </w:rPr>
        <w:t>hethe</w:t>
      </w:r>
      <w:r w:rsidR="00F03CB0">
        <w:rPr>
          <w:sz w:val="22"/>
          <w:szCs w:val="22"/>
        </w:rPr>
        <w:t>r</w:t>
      </w:r>
      <w:r w:rsidR="00613E6B" w:rsidRPr="00F03CB0">
        <w:rPr>
          <w:sz w:val="22"/>
          <w:szCs w:val="22"/>
        </w:rPr>
        <w:t xml:space="preserve"> the donation is restricted (say to a particular project) or unrestricted</w:t>
      </w:r>
    </w:p>
    <w:p w14:paraId="43E54518" w14:textId="603B147D" w:rsidR="00613E6B" w:rsidRPr="00F03CB0" w:rsidRDefault="00F506B1" w:rsidP="00B708BC">
      <w:pPr>
        <w:jc w:val="both"/>
        <w:rPr>
          <w:b/>
          <w:bCs/>
          <w:sz w:val="22"/>
          <w:szCs w:val="22"/>
        </w:rPr>
      </w:pPr>
      <w:r w:rsidRPr="00F03CB0">
        <w:rPr>
          <w:b/>
          <w:bCs/>
          <w:sz w:val="22"/>
          <w:szCs w:val="22"/>
        </w:rPr>
        <w:t>Donor Suitability</w:t>
      </w:r>
    </w:p>
    <w:p w14:paraId="3E7DD64B" w14:textId="42A97E72" w:rsidR="00F506B1" w:rsidRPr="00F03CB0" w:rsidRDefault="00F506B1" w:rsidP="00B708BC">
      <w:pPr>
        <w:jc w:val="both"/>
        <w:rPr>
          <w:sz w:val="22"/>
          <w:szCs w:val="22"/>
        </w:rPr>
      </w:pPr>
      <w:r w:rsidRPr="00F03CB0">
        <w:rPr>
          <w:sz w:val="22"/>
          <w:szCs w:val="22"/>
        </w:rPr>
        <w:t xml:space="preserve">For material </w:t>
      </w:r>
      <w:r w:rsidR="00B713DC" w:rsidRPr="00F03CB0">
        <w:rPr>
          <w:sz w:val="22"/>
          <w:szCs w:val="22"/>
        </w:rPr>
        <w:t>(&gt;£1000</w:t>
      </w:r>
      <w:r w:rsidR="00961C20">
        <w:rPr>
          <w:sz w:val="22"/>
          <w:szCs w:val="22"/>
        </w:rPr>
        <w:t xml:space="preserve"> per donor</w:t>
      </w:r>
      <w:r w:rsidR="00B713DC" w:rsidRPr="00F03CB0">
        <w:rPr>
          <w:sz w:val="22"/>
          <w:szCs w:val="22"/>
        </w:rPr>
        <w:t xml:space="preserve">) </w:t>
      </w:r>
      <w:r w:rsidRPr="00F03CB0">
        <w:rPr>
          <w:sz w:val="22"/>
          <w:szCs w:val="22"/>
        </w:rPr>
        <w:t xml:space="preserve">donations, we </w:t>
      </w:r>
      <w:r w:rsidR="00B713DC" w:rsidRPr="00F03CB0">
        <w:rPr>
          <w:sz w:val="22"/>
          <w:szCs w:val="22"/>
        </w:rPr>
        <w:t>ideally want</w:t>
      </w:r>
      <w:r w:rsidR="005E2F49" w:rsidRPr="00F03CB0">
        <w:rPr>
          <w:sz w:val="22"/>
          <w:szCs w:val="22"/>
        </w:rPr>
        <w:t xml:space="preserve"> to</w:t>
      </w:r>
      <w:r w:rsidRPr="00F03CB0">
        <w:rPr>
          <w:sz w:val="22"/>
          <w:szCs w:val="22"/>
        </w:rPr>
        <w:t xml:space="preserve"> know enough about who the donors are so that we do not have any </w:t>
      </w:r>
      <w:r w:rsidR="006D27DB" w:rsidRPr="00F03CB0">
        <w:rPr>
          <w:sz w:val="22"/>
          <w:szCs w:val="22"/>
        </w:rPr>
        <w:t>suspicions</w:t>
      </w:r>
      <w:r w:rsidRPr="00F03CB0">
        <w:rPr>
          <w:sz w:val="22"/>
          <w:szCs w:val="22"/>
        </w:rPr>
        <w:t xml:space="preserve"> about the following:</w:t>
      </w:r>
    </w:p>
    <w:p w14:paraId="20579F49" w14:textId="19164B7B" w:rsidR="006D27DB" w:rsidRPr="00F03CB0" w:rsidRDefault="001D56D8" w:rsidP="00B708B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F506B1" w:rsidRPr="00F03CB0">
        <w:rPr>
          <w:sz w:val="22"/>
          <w:szCs w:val="22"/>
        </w:rPr>
        <w:t xml:space="preserve">hat the donation </w:t>
      </w:r>
      <w:r w:rsidR="006D27DB" w:rsidRPr="00F03CB0">
        <w:rPr>
          <w:sz w:val="22"/>
          <w:szCs w:val="22"/>
        </w:rPr>
        <w:t>might</w:t>
      </w:r>
      <w:r w:rsidR="00F506B1" w:rsidRPr="00F03CB0">
        <w:rPr>
          <w:sz w:val="22"/>
          <w:szCs w:val="22"/>
        </w:rPr>
        <w:t xml:space="preserve"> come from</w:t>
      </w:r>
      <w:r w:rsidR="00BC7BDD" w:rsidRPr="00F03CB0">
        <w:rPr>
          <w:sz w:val="22"/>
          <w:szCs w:val="22"/>
        </w:rPr>
        <w:t xml:space="preserve"> an</w:t>
      </w:r>
      <w:r w:rsidR="00F506B1" w:rsidRPr="00F03CB0">
        <w:rPr>
          <w:sz w:val="22"/>
          <w:szCs w:val="22"/>
        </w:rPr>
        <w:t xml:space="preserve"> illegal source</w:t>
      </w:r>
      <w:r w:rsidR="00B713DC" w:rsidRPr="00F03CB0">
        <w:rPr>
          <w:sz w:val="22"/>
          <w:szCs w:val="22"/>
        </w:rPr>
        <w:t xml:space="preserve"> of funds</w:t>
      </w:r>
    </w:p>
    <w:p w14:paraId="68CBA300" w14:textId="331FDE9E" w:rsidR="00F506B1" w:rsidRPr="00F03CB0" w:rsidRDefault="001D56D8" w:rsidP="00B708B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F506B1" w:rsidRPr="00F03CB0">
        <w:rPr>
          <w:sz w:val="22"/>
          <w:szCs w:val="22"/>
        </w:rPr>
        <w:t xml:space="preserve">hat the donor </w:t>
      </w:r>
      <w:r w:rsidR="006D27DB" w:rsidRPr="00F03CB0">
        <w:rPr>
          <w:sz w:val="22"/>
          <w:szCs w:val="22"/>
        </w:rPr>
        <w:t>might not</w:t>
      </w:r>
      <w:r w:rsidR="00F506B1" w:rsidRPr="00F03CB0">
        <w:rPr>
          <w:sz w:val="22"/>
          <w:szCs w:val="22"/>
        </w:rPr>
        <w:t xml:space="preserve"> legally </w:t>
      </w:r>
      <w:r w:rsidR="006D27DB" w:rsidRPr="00F03CB0">
        <w:rPr>
          <w:sz w:val="22"/>
          <w:szCs w:val="22"/>
        </w:rPr>
        <w:t xml:space="preserve">be </w:t>
      </w:r>
      <w:r w:rsidR="00F506B1" w:rsidRPr="00F03CB0">
        <w:rPr>
          <w:sz w:val="22"/>
          <w:szCs w:val="22"/>
        </w:rPr>
        <w:t>able to make the donation</w:t>
      </w:r>
    </w:p>
    <w:p w14:paraId="55CC25E6" w14:textId="2DEEEA40" w:rsidR="00F506B1" w:rsidRPr="00F03CB0" w:rsidRDefault="001D56D8" w:rsidP="00B708B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F506B1" w:rsidRPr="00F03CB0">
        <w:rPr>
          <w:sz w:val="22"/>
          <w:szCs w:val="22"/>
        </w:rPr>
        <w:t xml:space="preserve">hat the donation </w:t>
      </w:r>
      <w:r w:rsidR="006D27DB" w:rsidRPr="00F03CB0">
        <w:rPr>
          <w:sz w:val="22"/>
          <w:szCs w:val="22"/>
        </w:rPr>
        <w:t>might come</w:t>
      </w:r>
      <w:r w:rsidR="00F506B1" w:rsidRPr="00F03CB0">
        <w:rPr>
          <w:sz w:val="22"/>
          <w:szCs w:val="22"/>
        </w:rPr>
        <w:t xml:space="preserve"> from a vulnerable person without </w:t>
      </w:r>
      <w:r w:rsidR="006D27DB" w:rsidRPr="00F03CB0">
        <w:rPr>
          <w:sz w:val="22"/>
          <w:szCs w:val="22"/>
        </w:rPr>
        <w:t xml:space="preserve">the </w:t>
      </w:r>
      <w:r w:rsidR="00F506B1" w:rsidRPr="00F03CB0">
        <w:rPr>
          <w:sz w:val="22"/>
          <w:szCs w:val="22"/>
        </w:rPr>
        <w:t>capacity to decide to donate</w:t>
      </w:r>
    </w:p>
    <w:p w14:paraId="5045E774" w14:textId="32A15563" w:rsidR="00F506B1" w:rsidRPr="00F03CB0" w:rsidRDefault="001D56D8" w:rsidP="00B708B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F506B1" w:rsidRPr="00F03CB0">
        <w:rPr>
          <w:sz w:val="22"/>
          <w:szCs w:val="22"/>
        </w:rPr>
        <w:t xml:space="preserve">hat the </w:t>
      </w:r>
      <w:r w:rsidR="00A05C71" w:rsidRPr="00F03CB0">
        <w:rPr>
          <w:sz w:val="22"/>
          <w:szCs w:val="22"/>
        </w:rPr>
        <w:t xml:space="preserve">donor is someone that </w:t>
      </w:r>
      <w:r>
        <w:rPr>
          <w:sz w:val="22"/>
          <w:szCs w:val="22"/>
        </w:rPr>
        <w:t>Farncombe Community Garden</w:t>
      </w:r>
      <w:r w:rsidR="00A05C71" w:rsidRPr="00F03CB0">
        <w:rPr>
          <w:sz w:val="22"/>
          <w:szCs w:val="22"/>
        </w:rPr>
        <w:t xml:space="preserve"> would prefer not to be associated with</w:t>
      </w:r>
    </w:p>
    <w:p w14:paraId="2F1A18FF" w14:textId="74518929" w:rsidR="00F506B1" w:rsidRPr="00F03CB0" w:rsidRDefault="00B713DC" w:rsidP="00B708BC">
      <w:pPr>
        <w:jc w:val="both"/>
        <w:rPr>
          <w:sz w:val="22"/>
          <w:szCs w:val="22"/>
        </w:rPr>
      </w:pPr>
      <w:r w:rsidRPr="00F03CB0">
        <w:rPr>
          <w:sz w:val="22"/>
          <w:szCs w:val="22"/>
        </w:rPr>
        <w:t>In these circumstances, or i</w:t>
      </w:r>
      <w:r w:rsidR="00F506B1" w:rsidRPr="00F03CB0">
        <w:rPr>
          <w:sz w:val="22"/>
          <w:szCs w:val="22"/>
        </w:rPr>
        <w:t xml:space="preserve">f the donor wishes to apply restrictions or other conditions to the donation that are inconsistent with </w:t>
      </w:r>
      <w:r w:rsidR="001D56D8">
        <w:rPr>
          <w:sz w:val="22"/>
          <w:szCs w:val="22"/>
        </w:rPr>
        <w:t>the Garden</w:t>
      </w:r>
      <w:r w:rsidR="00F506B1" w:rsidRPr="00F03CB0">
        <w:rPr>
          <w:sz w:val="22"/>
          <w:szCs w:val="22"/>
        </w:rPr>
        <w:t xml:space="preserve">’s </w:t>
      </w:r>
      <w:r w:rsidR="001D56D8">
        <w:rPr>
          <w:sz w:val="22"/>
          <w:szCs w:val="22"/>
        </w:rPr>
        <w:t xml:space="preserve">charitable </w:t>
      </w:r>
      <w:r w:rsidR="00F506B1" w:rsidRPr="00F03CB0">
        <w:rPr>
          <w:sz w:val="22"/>
          <w:szCs w:val="22"/>
        </w:rPr>
        <w:t>purposes, or which would be too difficult in practice to fulfil, then we may need to refuse or return the donation</w:t>
      </w:r>
      <w:r w:rsidR="00BC7BDD" w:rsidRPr="00F03CB0">
        <w:rPr>
          <w:sz w:val="22"/>
          <w:szCs w:val="22"/>
        </w:rPr>
        <w:t xml:space="preserve"> if a resolution cannot be agreed</w:t>
      </w:r>
      <w:r w:rsidR="00F506B1" w:rsidRPr="00F03CB0">
        <w:rPr>
          <w:sz w:val="22"/>
          <w:szCs w:val="22"/>
        </w:rPr>
        <w:t>.</w:t>
      </w:r>
      <w:r w:rsidRPr="00F03CB0">
        <w:rPr>
          <w:sz w:val="22"/>
          <w:szCs w:val="22"/>
        </w:rPr>
        <w:t xml:space="preserve"> Conta</w:t>
      </w:r>
      <w:r w:rsidR="00F03CB0">
        <w:rPr>
          <w:sz w:val="22"/>
          <w:szCs w:val="22"/>
        </w:rPr>
        <w:t>c</w:t>
      </w:r>
      <w:r w:rsidRPr="00F03CB0">
        <w:rPr>
          <w:sz w:val="22"/>
          <w:szCs w:val="22"/>
        </w:rPr>
        <w:t>t details would therefore be helpful.</w:t>
      </w:r>
    </w:p>
    <w:p w14:paraId="28635A43" w14:textId="26DFDF64" w:rsidR="008C33AB" w:rsidRPr="00F03CB0" w:rsidRDefault="008C33AB" w:rsidP="00B708BC">
      <w:pPr>
        <w:jc w:val="both"/>
        <w:rPr>
          <w:b/>
          <w:bCs/>
          <w:sz w:val="22"/>
          <w:szCs w:val="22"/>
        </w:rPr>
      </w:pPr>
      <w:r w:rsidRPr="00F03CB0">
        <w:rPr>
          <w:b/>
          <w:bCs/>
          <w:sz w:val="22"/>
          <w:szCs w:val="22"/>
        </w:rPr>
        <w:t>Fundraising rules</w:t>
      </w:r>
    </w:p>
    <w:p w14:paraId="67424E5E" w14:textId="4CE52345" w:rsidR="008C33AB" w:rsidRPr="00F03CB0" w:rsidRDefault="008C33AB" w:rsidP="00B708BC">
      <w:pPr>
        <w:jc w:val="both"/>
        <w:rPr>
          <w:sz w:val="22"/>
          <w:szCs w:val="22"/>
        </w:rPr>
      </w:pPr>
      <w:r w:rsidRPr="00F03CB0">
        <w:rPr>
          <w:sz w:val="22"/>
          <w:szCs w:val="22"/>
        </w:rPr>
        <w:t xml:space="preserve">When holding fundraising activities in a location, we should confirm that we have the necessary permissions to do so. Public spaces </w:t>
      </w:r>
      <w:r w:rsidR="001D56D8">
        <w:rPr>
          <w:sz w:val="22"/>
          <w:szCs w:val="22"/>
        </w:rPr>
        <w:t>(</w:t>
      </w:r>
      <w:proofErr w:type="spellStart"/>
      <w:r w:rsidR="001D56D8">
        <w:rPr>
          <w:sz w:val="22"/>
          <w:szCs w:val="22"/>
        </w:rPr>
        <w:t>eg</w:t>
      </w:r>
      <w:proofErr w:type="spellEnd"/>
      <w:r w:rsidR="001D56D8">
        <w:rPr>
          <w:sz w:val="22"/>
          <w:szCs w:val="22"/>
        </w:rPr>
        <w:t xml:space="preserve"> fund raising on a high street) </w:t>
      </w:r>
      <w:r w:rsidRPr="00F03CB0">
        <w:rPr>
          <w:sz w:val="22"/>
          <w:szCs w:val="22"/>
        </w:rPr>
        <w:t>may require permission from the local authority or the Metropolitan Police.</w:t>
      </w:r>
    </w:p>
    <w:p w14:paraId="19AC59A3" w14:textId="3F2B036E" w:rsidR="00B713DC" w:rsidRPr="00F03CB0" w:rsidRDefault="008C33AB" w:rsidP="00B708BC">
      <w:pPr>
        <w:jc w:val="both"/>
        <w:rPr>
          <w:sz w:val="22"/>
          <w:szCs w:val="22"/>
        </w:rPr>
      </w:pPr>
      <w:r w:rsidRPr="00F03CB0">
        <w:rPr>
          <w:sz w:val="22"/>
          <w:szCs w:val="22"/>
        </w:rPr>
        <w:t xml:space="preserve">Information should be </w:t>
      </w:r>
      <w:r w:rsidR="005E2F49" w:rsidRPr="00F03CB0">
        <w:rPr>
          <w:sz w:val="22"/>
          <w:szCs w:val="22"/>
        </w:rPr>
        <w:t>displayed</w:t>
      </w:r>
      <w:r w:rsidRPr="00F03CB0">
        <w:rPr>
          <w:sz w:val="22"/>
          <w:szCs w:val="22"/>
        </w:rPr>
        <w:t xml:space="preserve"> </w:t>
      </w:r>
      <w:r w:rsidR="00B713DC" w:rsidRPr="00F03CB0">
        <w:rPr>
          <w:sz w:val="22"/>
          <w:szCs w:val="22"/>
        </w:rPr>
        <w:t>about</w:t>
      </w:r>
      <w:r w:rsidRPr="00F03CB0">
        <w:rPr>
          <w:sz w:val="22"/>
          <w:szCs w:val="22"/>
        </w:rPr>
        <w:t xml:space="preserve"> wh</w:t>
      </w:r>
      <w:r w:rsidR="001D56D8">
        <w:rPr>
          <w:sz w:val="22"/>
          <w:szCs w:val="22"/>
        </w:rPr>
        <w:t>at</w:t>
      </w:r>
      <w:r w:rsidRPr="00F03CB0">
        <w:rPr>
          <w:sz w:val="22"/>
          <w:szCs w:val="22"/>
        </w:rPr>
        <w:t xml:space="preserve"> </w:t>
      </w:r>
      <w:r w:rsidR="001D56D8">
        <w:rPr>
          <w:sz w:val="22"/>
          <w:szCs w:val="22"/>
        </w:rPr>
        <w:t>Farncombe Community Garden</w:t>
      </w:r>
      <w:r w:rsidRPr="00F03CB0">
        <w:rPr>
          <w:sz w:val="22"/>
          <w:szCs w:val="22"/>
        </w:rPr>
        <w:t xml:space="preserve"> is and how any donations will be used.</w:t>
      </w:r>
      <w:r w:rsidR="00A05C71" w:rsidRPr="00F03CB0">
        <w:rPr>
          <w:sz w:val="22"/>
          <w:szCs w:val="22"/>
        </w:rPr>
        <w:t xml:space="preserve"> Anyone involved in the fundraising should be </w:t>
      </w:r>
      <w:r w:rsidR="006D27DB" w:rsidRPr="00F03CB0">
        <w:rPr>
          <w:sz w:val="22"/>
          <w:szCs w:val="22"/>
        </w:rPr>
        <w:t>identifiable</w:t>
      </w:r>
      <w:r w:rsidR="00A05C71" w:rsidRPr="00F03CB0">
        <w:rPr>
          <w:sz w:val="22"/>
          <w:szCs w:val="22"/>
        </w:rPr>
        <w:t xml:space="preserve"> as</w:t>
      </w:r>
      <w:r w:rsidR="006D27DB" w:rsidRPr="00F03CB0">
        <w:rPr>
          <w:sz w:val="22"/>
          <w:szCs w:val="22"/>
        </w:rPr>
        <w:t xml:space="preserve"> a</w:t>
      </w:r>
      <w:r w:rsidR="00A05C71" w:rsidRPr="00F03CB0">
        <w:rPr>
          <w:sz w:val="22"/>
          <w:szCs w:val="22"/>
        </w:rPr>
        <w:t xml:space="preserve"> representative of </w:t>
      </w:r>
      <w:r w:rsidR="001D56D8">
        <w:rPr>
          <w:sz w:val="22"/>
          <w:szCs w:val="22"/>
        </w:rPr>
        <w:t>the Garden</w:t>
      </w:r>
      <w:r w:rsidR="00A05C71" w:rsidRPr="00F03CB0">
        <w:rPr>
          <w:sz w:val="22"/>
          <w:szCs w:val="22"/>
        </w:rPr>
        <w:t>.</w:t>
      </w:r>
    </w:p>
    <w:p w14:paraId="5531B509" w14:textId="521C105B" w:rsidR="00007E40" w:rsidRPr="00F03CB0" w:rsidRDefault="00007E40" w:rsidP="00B708BC">
      <w:pPr>
        <w:jc w:val="both"/>
        <w:rPr>
          <w:b/>
          <w:bCs/>
          <w:sz w:val="22"/>
          <w:szCs w:val="22"/>
        </w:rPr>
      </w:pPr>
      <w:r w:rsidRPr="00F03CB0">
        <w:rPr>
          <w:b/>
          <w:bCs/>
          <w:sz w:val="22"/>
          <w:szCs w:val="22"/>
        </w:rPr>
        <w:t>Further Reference</w:t>
      </w:r>
    </w:p>
    <w:p w14:paraId="2EEC0B65" w14:textId="3A36B60A" w:rsidR="00007E40" w:rsidRPr="00F03CB0" w:rsidRDefault="00CC351F" w:rsidP="00B708BC">
      <w:pPr>
        <w:jc w:val="both"/>
        <w:rPr>
          <w:sz w:val="22"/>
          <w:szCs w:val="22"/>
        </w:rPr>
      </w:pPr>
      <w:r w:rsidRPr="00F03CB0">
        <w:rPr>
          <w:sz w:val="22"/>
          <w:szCs w:val="22"/>
        </w:rPr>
        <w:t>https://www.gov.uk/government/publications/internal-financial-controls-for-charities-cc8     especially</w:t>
      </w:r>
      <w:r w:rsidR="00007E40" w:rsidRPr="00F03CB0">
        <w:rPr>
          <w:sz w:val="22"/>
          <w:szCs w:val="22"/>
        </w:rPr>
        <w:t xml:space="preserve"> 5.3 Donations from public collections and fundraising events</w:t>
      </w:r>
    </w:p>
    <w:p w14:paraId="3DCB8001" w14:textId="72243880" w:rsidR="00007E40" w:rsidRPr="00F03CB0" w:rsidRDefault="00007E40" w:rsidP="00B708BC">
      <w:pPr>
        <w:jc w:val="both"/>
        <w:rPr>
          <w:sz w:val="22"/>
          <w:szCs w:val="22"/>
        </w:rPr>
      </w:pPr>
      <w:r w:rsidRPr="00F03CB0">
        <w:rPr>
          <w:sz w:val="22"/>
          <w:szCs w:val="22"/>
        </w:rPr>
        <w:t>Charity Commission Guidance CC20 Charities and Fundraising</w:t>
      </w:r>
    </w:p>
    <w:p w14:paraId="48357EB0" w14:textId="595E8442" w:rsidR="005B5353" w:rsidRPr="00F03CB0" w:rsidRDefault="008C33AB" w:rsidP="00B708BC">
      <w:pPr>
        <w:jc w:val="both"/>
        <w:rPr>
          <w:sz w:val="22"/>
          <w:szCs w:val="22"/>
        </w:rPr>
      </w:pPr>
      <w:hyperlink r:id="rId6" w:history="1">
        <w:r w:rsidRPr="00F03CB0">
          <w:rPr>
            <w:rStyle w:val="Hyperlink"/>
            <w:sz w:val="22"/>
            <w:szCs w:val="22"/>
          </w:rPr>
          <w:t>https://www.gov.uk/guidance/accepting-refusing-and-returning-donations-to-your-charity</w:t>
        </w:r>
      </w:hyperlink>
    </w:p>
    <w:p w14:paraId="2EC51F73" w14:textId="5D1FE882" w:rsidR="00A05C71" w:rsidRPr="00F03CB0" w:rsidRDefault="001D56D8" w:rsidP="00B708BC">
      <w:pPr>
        <w:jc w:val="both"/>
        <w:rPr>
          <w:sz w:val="22"/>
          <w:szCs w:val="22"/>
        </w:rPr>
      </w:pPr>
      <w:r>
        <w:rPr>
          <w:sz w:val="22"/>
          <w:szCs w:val="22"/>
        </w:rPr>
        <w:t>January 2026</w:t>
      </w:r>
    </w:p>
    <w:sectPr w:rsidR="00A05C71" w:rsidRPr="00F03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35"/>
    <w:multiLevelType w:val="hybridMultilevel"/>
    <w:tmpl w:val="6116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33B75"/>
    <w:multiLevelType w:val="hybridMultilevel"/>
    <w:tmpl w:val="74149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07515"/>
    <w:multiLevelType w:val="hybridMultilevel"/>
    <w:tmpl w:val="D604E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B6E41"/>
    <w:multiLevelType w:val="hybridMultilevel"/>
    <w:tmpl w:val="F1D04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926784">
    <w:abstractNumId w:val="2"/>
  </w:num>
  <w:num w:numId="2" w16cid:durableId="1543056450">
    <w:abstractNumId w:val="0"/>
  </w:num>
  <w:num w:numId="3" w16cid:durableId="1303729392">
    <w:abstractNumId w:val="1"/>
  </w:num>
  <w:num w:numId="4" w16cid:durableId="904680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40"/>
    <w:rsid w:val="00007E40"/>
    <w:rsid w:val="000F4064"/>
    <w:rsid w:val="001D56D8"/>
    <w:rsid w:val="00206E1D"/>
    <w:rsid w:val="0024513B"/>
    <w:rsid w:val="00451C59"/>
    <w:rsid w:val="004765D8"/>
    <w:rsid w:val="005557F9"/>
    <w:rsid w:val="005B5353"/>
    <w:rsid w:val="005E2F49"/>
    <w:rsid w:val="00613E6B"/>
    <w:rsid w:val="006D27DB"/>
    <w:rsid w:val="00705450"/>
    <w:rsid w:val="00771D01"/>
    <w:rsid w:val="007A6F09"/>
    <w:rsid w:val="008557EF"/>
    <w:rsid w:val="008C33AB"/>
    <w:rsid w:val="00961C20"/>
    <w:rsid w:val="00976E49"/>
    <w:rsid w:val="00A05C71"/>
    <w:rsid w:val="00AC3006"/>
    <w:rsid w:val="00B708BC"/>
    <w:rsid w:val="00B713DC"/>
    <w:rsid w:val="00BC7BDD"/>
    <w:rsid w:val="00CC351F"/>
    <w:rsid w:val="00CF5B57"/>
    <w:rsid w:val="00D24DF6"/>
    <w:rsid w:val="00D5430C"/>
    <w:rsid w:val="00E3457F"/>
    <w:rsid w:val="00F03CB0"/>
    <w:rsid w:val="00F11600"/>
    <w:rsid w:val="00F506B1"/>
    <w:rsid w:val="00FC1904"/>
    <w:rsid w:val="00F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C3B61"/>
  <w15:chartTrackingRefBased/>
  <w15:docId w15:val="{EB76A652-0C8F-48BD-BB58-4CDF4DF6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E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33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accepting-refusing-and-returning-donations-to-your-charit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Wray</dc:creator>
  <cp:keywords/>
  <dc:description/>
  <cp:lastModifiedBy>BRUNET, Martin (BINSCOMBE MEDICAL CENTRE)</cp:lastModifiedBy>
  <cp:revision>2</cp:revision>
  <dcterms:created xsi:type="dcterms:W3CDTF">2026-01-03T15:33:00Z</dcterms:created>
  <dcterms:modified xsi:type="dcterms:W3CDTF">2026-01-03T15:33:00Z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004297de-f2a7-46db-b425-8c4ea665684a</vt:lpwstr>
  </property>
</Properties>
</file>